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 Identificarea Zonelor Prioritare pentru Biodiversitate (ZPB)</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1.1. Codul ZPB*</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ROSAC0209ZPB</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*Codare temporară, aceasta va fi actualizată conform specificațiilor de raportare</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 Denumire ZPB</w:t>
      </w:r>
    </w:p>
    <w:p w:rsidR="00000000" w:rsidDel="00000000" w:rsidP="00000000" w:rsidRDefault="00000000" w:rsidRPr="00000000" w14:paraId="0000000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Racâș - Hida</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1.3. Încadrarea ZPB în:</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2129685216"/>
          <w:tag w:val="goog_rdk_0"/>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Arie naturală protejată</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86296876"/>
          <w:tag w:val="goog_rdk_1"/>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OECM (Other effective area-based conservation measures)</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55214992"/>
          <w:tag w:val="goog_rdk_2"/>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Zonă potențială care să devină arie naturală protejată</w:t>
      </w:r>
    </w:p>
    <w:tbl>
      <w:tblPr>
        <w:tblStyle w:val="Table1"/>
        <w:tblW w:w="8980.0" w:type="dxa"/>
        <w:jc w:val="left"/>
        <w:tblInd w:w="-98.0" w:type="dxa"/>
        <w:tblLayout w:type="fixed"/>
        <w:tblLook w:val="0400"/>
      </w:tblPr>
      <w:tblGrid>
        <w:gridCol w:w="4491"/>
        <w:gridCol w:w="4489"/>
      </w:tblGrid>
      <w:tr>
        <w:trPr>
          <w:cantSplit w:val="0"/>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1.4. Data completării</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1.5. Data actualizării</w:t>
            </w:r>
          </w:p>
        </w:tc>
      </w:tr>
      <w:tr>
        <w:trPr>
          <w:cantSplit w:val="0"/>
          <w:tblHeader w:val="0"/>
        </w:trPr>
        <w:tc>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tbl>
            <w:tblPr>
              <w:tblStyle w:val="Table2"/>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3"/>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1.6. Responsabili - Nume/Organizație:</w:t>
      </w:r>
    </w:p>
    <w:p w:rsidR="00000000" w:rsidDel="00000000" w:rsidP="00000000" w:rsidRDefault="00000000" w:rsidRPr="00000000" w14:paraId="0000002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1.7. Datele indicării și desemnării ca ZPB</w:t>
      </w:r>
    </w:p>
    <w:tbl>
      <w:tblPr>
        <w:tblStyle w:val="Table4"/>
        <w:tblW w:w="8980.0" w:type="dxa"/>
        <w:jc w:val="left"/>
        <w:tblInd w:w="-98.0" w:type="dxa"/>
        <w:tblLayout w:type="fixed"/>
        <w:tblLook w:val="0400"/>
      </w:tblPr>
      <w:tblGrid>
        <w:gridCol w:w="4454"/>
        <w:gridCol w:w="4526"/>
      </w:tblGrid>
      <w:tr>
        <w:trPr>
          <w:cantSplit w:val="0"/>
          <w:tblHeader w:val="0"/>
        </w:trPr>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Data desemnării ca ZPB:</w:t>
            </w:r>
          </w:p>
        </w:tc>
        <w:tc>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5"/>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Referința legală națională a desemnării ZPB:</w:t>
      </w:r>
    </w:p>
    <w:p w:rsidR="00000000" w:rsidDel="00000000" w:rsidP="00000000" w:rsidRDefault="00000000" w:rsidRPr="00000000" w14:paraId="0000003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 Localizarea Zonelor Prioritare pentru Biodiversitate (ZPB)</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2.1. Suprafața totală a ZPB (ha)</w:t>
      </w:r>
    </w:p>
    <w:p w:rsidR="00000000" w:rsidDel="00000000" w:rsidP="00000000" w:rsidRDefault="00000000" w:rsidRPr="00000000" w14:paraId="0000004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10,94</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2.2. Procentul ocupat de ZPB din suprafața totală a ariei naturale protejate/OECM</w:t>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4,56%</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2.3. Încadrarea ZPB în regiunile administrative</w:t>
      </w:r>
    </w:p>
    <w:tbl>
      <w:tblPr>
        <w:tblStyle w:val="Table6"/>
        <w:tblW w:w="8980.0" w:type="dxa"/>
        <w:jc w:val="left"/>
        <w:tblInd w:w="-98.0" w:type="dxa"/>
        <w:tblLayout w:type="fixed"/>
        <w:tblLook w:val="0400"/>
      </w:tblPr>
      <w:tblGrid>
        <w:gridCol w:w="3157"/>
        <w:gridCol w:w="443"/>
        <w:gridCol w:w="5380"/>
      </w:tblGrid>
      <w:tr>
        <w:trPr>
          <w:cantSplit w:val="0"/>
          <w:tblHeader w:val="0"/>
        </w:trPr>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NUTS</w:t>
            </w:r>
          </w:p>
        </w:tc>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RO11</w:t>
            </w:r>
          </w:p>
        </w:tc>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Nord-Vest</w:t>
            </w:r>
          </w:p>
        </w:tc>
      </w:tr>
    </w:tbl>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16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Numele Județului/Județelor</w:t>
      </w:r>
    </w:p>
    <w:p w:rsidR="00000000" w:rsidDel="00000000" w:rsidP="00000000" w:rsidRDefault="00000000" w:rsidRPr="00000000" w14:paraId="0000004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Sălaj</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2.4. Încadrarea ZPB în regiunile biogeografice</w:t>
      </w:r>
    </w:p>
    <w:tbl>
      <w:tblPr>
        <w:tblStyle w:val="Table7"/>
        <w:tblW w:w="8980.0" w:type="dxa"/>
        <w:jc w:val="left"/>
        <w:tblInd w:w="-98.0" w:type="dxa"/>
        <w:tblLayout w:type="fixed"/>
        <w:tblLook w:val="0400"/>
      </w:tblPr>
      <w:tblGrid>
        <w:gridCol w:w="2803"/>
        <w:gridCol w:w="236"/>
        <w:gridCol w:w="2874"/>
        <w:gridCol w:w="236"/>
        <w:gridCol w:w="2831"/>
      </w:tblGrid>
      <w:tr>
        <w:trPr>
          <w:cantSplit w:val="0"/>
          <w:tblHeader w:val="0"/>
        </w:trPr>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737555264"/>
                <w:tag w:val="goog_rdk_3"/>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Alpină %</w:t>
            </w:r>
          </w:p>
        </w:tc>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362768069"/>
                <w:tag w:val="goog_rdk_4"/>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Continentală 100%</w:t>
            </w:r>
          </w:p>
        </w:tc>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3177219"/>
                <w:tag w:val="goog_rdk_5"/>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Panonică %</w:t>
            </w:r>
          </w:p>
        </w:tc>
      </w:tr>
      <w:tr>
        <w:trPr>
          <w:cantSplit w:val="0"/>
          <w:tblHeader w:val="0"/>
        </w:trPr>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794299760"/>
                <w:tag w:val="goog_rdk_6"/>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Stepică %</w:t>
            </w:r>
          </w:p>
        </w:tc>
        <w:tc>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360191621"/>
                <w:tag w:val="goog_rdk_7"/>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Pontică %</w:t>
            </w:r>
          </w:p>
        </w:tc>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802737680"/>
                <w:tag w:val="goog_rdk_8"/>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Marea Neagră %</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3.1. Numărul Zonelor Prioritare pentru Biodiversitate distincte de pe teritoriul ariei naturale protejate:</w:t>
      </w:r>
    </w:p>
    <w:p w:rsidR="00000000" w:rsidDel="00000000" w:rsidP="00000000" w:rsidRDefault="00000000" w:rsidRPr="00000000" w14:paraId="0000005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 Descrierea Zonelor Prioritare pentru Biodiversitate distincte</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 Zona Prioritară pentru Biodiversitate nr. 1</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3.2.1.1. Cod Zona Prioritară pentru Biodiversitate nr. 1</w:t>
      </w:r>
    </w:p>
    <w:p w:rsidR="00000000" w:rsidDel="00000000" w:rsidP="00000000" w:rsidRDefault="00000000" w:rsidRPr="00000000" w14:paraId="0000005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3.2.1.2.  Detalii privind Zona Prioritară pentru Biodiversitate nr. 1</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3,64</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p>
    <w:p w:rsidR="00000000" w:rsidDel="00000000" w:rsidP="00000000" w:rsidRDefault="00000000" w:rsidRPr="00000000" w14:paraId="00000063">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Decizia Comitetului Executiv al Consiliului Popular Județean Sălaj nr. 259/1975: Poiana cu narcise de la Racâș – Hida;</w:t>
      </w:r>
    </w:p>
    <w:p w:rsidR="00000000" w:rsidDel="00000000" w:rsidP="00000000" w:rsidRDefault="00000000" w:rsidRPr="00000000" w14:paraId="00000064">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Legea nr. 5/2000 privind aprobarea Planului de amenajare a teritoriului național – Secțiunea a III-a – zone protejate, cu modificările și completările ulterioare: RONPA0701 Poiana cu narcise de la Racâș – Hida;</w:t>
      </w:r>
    </w:p>
    <w:p w:rsidR="00000000" w:rsidDel="00000000" w:rsidP="00000000" w:rsidRDefault="00000000" w:rsidRPr="00000000" w14:paraId="00000065">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1972/2015 privind aprobarea Planului de management al sitului de importanță comunitară ROSCI0209 Racâș - Hida și al ariei naturale protejate de interes național 2.684 . Poiana cu narcise de la Racâș - Hida</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p>
    <w:tbl>
      <w:tblPr>
        <w:tblStyle w:val="Table8"/>
        <w:tblW w:w="8964.0" w:type="dxa"/>
        <w:jc w:val="left"/>
        <w:tblInd w:w="-97.00000000000001" w:type="dxa"/>
        <w:tblLayout w:type="fixed"/>
        <w:tblLook w:val="0400"/>
      </w:tblPr>
      <w:tblGrid>
        <w:gridCol w:w="4500"/>
        <w:gridCol w:w="4464"/>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Habitat de pajiște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4097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Iris aphylla subsp. hungarica </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Narcissus poeticus var. stellaris </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Hepatica transsilvanica</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Aconitum lycoctonum ssp. Moldavicum</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Lathyrus transsilvanicus</w:t>
            </w:r>
          </w:p>
        </w:tc>
      </w:tr>
      <w:tr>
        <w:trPr>
          <w:cantSplit w:val="0"/>
          <w:trHeight w:val="3347"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Aria desemnată ca ZPB reprezintă un ecosistem de pajiște cu valoare conservativă ridicată, recunoscut la nivel regional prin prezența unor populații importante de specii floristice de interes conservativ și prin caracterul său semi-natural, menținut în contextul unui peisaj tradițional cu intervenții antropice reduse.</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 a zonei este susținută de prezența unor specii rare și vulnerabile asociate pajiștilor și ecosistemelor deschise, inclusiv populații semnificative de narcisă de munte și alte specii floristice cu distribuție restrânsă sau importanță conservativă ridicată. Diversitatea floristică și condițiile ecologice locale contribuie la menținerea unui habitat favorabil speciilor caracteristice pajiștilor semi-naturale. </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Importanța conservativă a zonei este susținută și de statutul de rezervație naturală floristică, relevant pentru protecția speciilor și a valorilor naturale asociate. Desemnarea ca ZPB se fundamentează pe prezența speciilor de interes conservativ și pe valoarea ecologică ridicată a ecosistemului de pajiște semi-naturală.</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A04 Păşunatul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de management activ pentru ecosistemele de pajiști seminaturale</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specifice:</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Menținerea suprafețelor de pajiști și prevenirea abandonului sau conversiei către alte categorii de folosință.</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Menținerea unei structuri mozaicate favorabile biodiversității.</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Evitarea degradării habitatelor prin suprapășunat, subpășunat, compactarea solului și eroziune.</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Limitarea utilizării substanțelor chimice și prevenirea eutrofizării habitatelor.</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Controlul speciilor invazive și limitarea instalării vegetației lemnoase.</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utilizării habitatelor și adaptarea managementului în funcție de rezultate.</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Măsuri de conservare:</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Cosirea se realizează astfel încât să permită retragerea faunei, menținându-se anual suprafețe-refugiu necosite temporar.</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 Se evită atât suprapășunatul, cât și subpășunatul, precum și concentrarea excesivă a animalelor în zone sensibile ale habitatului.</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Târlitul se realizează controlat și cu schimbarea periodică a amplasamentelor, evitându-se apariția suprafețelor nitrofile și degradarea habitatului.</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 Vegetația lemnoasă invadantă se îndepărtează selectiv și periodic, menținându-se elementele cu rol ecologic, antierozional sau de refugiu pentru specii.</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 Speciile invazive se monitorizează și se controlează prin metode mecanice și măsuri cu impact redus asupra habitatelor naturale.</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 Se mențin structurile de habitat favorabile biodiversității, inclusiv tufărișurile dispersate, arborii izolați, gardurile vii și zonele de ecoton.</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17. Activitățile turistice și recreative se desfășoară fără afectarea habitatelor și a speciilor de interes conservativ.</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18.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Publică</w:t>
            </w:r>
          </w:p>
        </w:tc>
      </w:tr>
    </w:tbl>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3.2.2. Zona Prioritară pentru Biodiversitate nr. 2</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3.2.2.1. Cod Zona Prioritară pentru Biodiversitate nr. 2</w:t>
      </w:r>
    </w:p>
    <w:p w:rsidR="00000000" w:rsidDel="00000000" w:rsidP="00000000" w:rsidRDefault="00000000" w:rsidRPr="00000000" w14:paraId="0000009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3.2.2.2.  Detalii privind Zona Prioritară pentru Biodiversitate nr. 2</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p>
    <w:p w:rsidR="00000000" w:rsidDel="00000000" w:rsidP="00000000" w:rsidRDefault="00000000" w:rsidRPr="00000000" w14:paraId="000000A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7,30</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p>
    <w:p w:rsidR="00000000" w:rsidDel="00000000" w:rsidP="00000000" w:rsidRDefault="00000000" w:rsidRPr="00000000" w14:paraId="000000A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dctnkc3pwtgh"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A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1972/2015 privind aprobarea Planului de management al sitului de importanță comunitară ROSCI0209 Racâș - Hida și al ariei naturale protejate de interes național 2.684 . Poiana cu narcise de la Racâș - Hida</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p>
    <w:tbl>
      <w:tblPr>
        <w:tblStyle w:val="Table9"/>
        <w:tblW w:w="8964.0" w:type="dxa"/>
        <w:jc w:val="left"/>
        <w:tblInd w:w="-97.00000000000001" w:type="dxa"/>
        <w:tblLayout w:type="fixed"/>
        <w:tblLook w:val="0400"/>
      </w:tblPr>
      <w:tblGrid>
        <w:gridCol w:w="4483"/>
        <w:gridCol w:w="4481"/>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de păduri temperate europene:</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91M0 Păduri balcano-panonice de cer și gorun:</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Ecosisteme de tufărișuri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Amfibieni:</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1193 Bombina variegata </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Plante:</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4097 Iris aphylla subsp. hungarica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2">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B3">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B4">
            <w:pPr>
              <w:jc w:val="both"/>
              <w:rPr/>
            </w:pPr>
            <w:r w:rsidDel="00000000" w:rsidR="00000000" w:rsidRPr="00000000">
              <w:rPr>
                <w:sz w:val="22"/>
                <w:szCs w:val="22"/>
                <w:rtl w:val="0"/>
              </w:rPr>
              <w:t xml:space="preserve">Zona include pajiști semi-naturale cu rol important în menținerea diversității biologice și a conectivității ecologice la nivel local. Aceste ecosisteme susțin comunități floristice și faunistice valoroase și contribuie la conservarea peisajelor tradiționale.</w:t>
            </w:r>
            <w:r w:rsidDel="00000000" w:rsidR="00000000" w:rsidRPr="00000000">
              <w:rPr>
                <w:rtl w:val="0"/>
              </w:rPr>
            </w:r>
          </w:p>
          <w:p w:rsidR="00000000" w:rsidDel="00000000" w:rsidP="00000000" w:rsidRDefault="00000000" w:rsidRPr="00000000" w14:paraId="000000B5">
            <w:pPr>
              <w:jc w:val="both"/>
              <w:rPr/>
            </w:pPr>
            <w:r w:rsidDel="00000000" w:rsidR="00000000" w:rsidRPr="00000000">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sidDel="00000000" w:rsidR="00000000" w:rsidRPr="00000000">
              <w:rPr>
                <w:rtl w:val="0"/>
              </w:rPr>
            </w:r>
          </w:p>
          <w:p w:rsidR="00000000" w:rsidDel="00000000" w:rsidP="00000000" w:rsidRDefault="00000000" w:rsidRPr="00000000" w14:paraId="000000B6">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A04 Păşunatul</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B02 Gestionarea si utilizarea padurii si plantatiei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în regim de management activ pentru habitatele forestiere</w:t>
            </w: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Conservarea și ameliorarea biodiversității arboretelor (structură, compoziție, microhabitate).</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Îmbunătățirea compoziției și structurii arboretelor către o configurație mai apropiată de naturalitate.</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Creșterea stabilității și rezistenței ecosistemelor forestiere la factori vătămători biotici și abiotici.</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Menținerea regenerării naturale și a continuității habitatelor forestiere.</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Reducerea fragmentării habitatelor și limitarea presiunilor antropice.</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stării de conservare și aplicarea managementului adaptativ.</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9">
            <w:pPr>
              <w:jc w:val="both"/>
              <w:rPr>
                <w:sz w:val="22"/>
                <w:szCs w:val="22"/>
              </w:rPr>
            </w:pPr>
            <w:r w:rsidDel="00000000" w:rsidR="00000000" w:rsidRPr="00000000">
              <w:rPr>
                <w:b w:val="1"/>
                <w:bCs w:val="1"/>
                <w:sz w:val="22"/>
                <w:szCs w:val="22"/>
                <w:rtl w:val="0"/>
              </w:rPr>
              <w:t xml:space="preserve">Obiective și măsuri de management activ pentru ecosistemele de tufărișuri</w:t>
            </w:r>
            <w:r w:rsidDel="00000000" w:rsidR="00000000" w:rsidRPr="00000000">
              <w:rPr>
                <w:rtl w:val="0"/>
              </w:rPr>
            </w:r>
          </w:p>
          <w:p w:rsidR="00000000" w:rsidDel="00000000" w:rsidP="00000000" w:rsidRDefault="00000000" w:rsidRPr="00000000" w14:paraId="000000DA">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DB">
            <w:pPr>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DC">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DD">
            <w:pPr>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DE">
            <w:pPr>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DF">
            <w:pPr>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E0">
            <w:pPr>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0E1">
            <w:pPr>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0E2">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E3">
            <w:pPr>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E4">
            <w:pPr>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E5">
            <w:pPr>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E6">
            <w:pPr>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E7">
            <w:pPr>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E8">
            <w:pPr>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E9">
            <w:pPr>
              <w:jc w:val="both"/>
              <w:rPr>
                <w:sz w:val="22"/>
                <w:szCs w:val="22"/>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0E9">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Publică</w:t>
            </w:r>
          </w:p>
        </w:tc>
      </w:tr>
    </w:tbl>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3.3. Bibliografie</w:t>
      </w:r>
    </w:p>
    <w:p w:rsidR="00000000" w:rsidDel="00000000" w:rsidP="00000000" w:rsidRDefault="00000000" w:rsidRPr="00000000" w14:paraId="000000F2">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Drăgulescu C., 1978, Originea şi corologia speciei Narcissus poeticus L. s.l., St. Com., Muz. Şt. Nat. Brukenthal, Sibiu: 105-128</w:t>
      </w:r>
    </w:p>
    <w:p w:rsidR="00000000" w:rsidDel="00000000" w:rsidP="00000000" w:rsidRDefault="00000000" w:rsidRPr="00000000" w14:paraId="000000F3">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545. Drăgulescu C., 1981, Ecologia, corologia şi cenologia populaţiilor de Narcissus poeticus L. ssp. stellaris (Haw.) Dos în Carpaţi, Ocr. nat. med. înconj., 25, 1: 49-55 + o hartă + 2 foto</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4. Consultări publice cu privire la desemnarea Zonelor Prioritare pentru Biodiversitate</w:t>
      </w:r>
    </w:p>
    <w:p w:rsidR="00000000" w:rsidDel="00000000" w:rsidP="00000000" w:rsidRDefault="00000000" w:rsidRPr="00000000" w14:paraId="000000F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240" w:before="24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19 iunie 2025 – online, jud. Sălaj. Ulterior, în cadrul procesului de consultare extins la nivel național, a avut loc consultări suplimentare online, în data de 30 ianuarie 20206, cu participarea factorilor interesați relevanți din județul sălaj, iar în data de 12 februarie 2026 au avut loc consultări publice la Prefectura Sălaj.</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5. Harta Zonelor Prioritare pentru Biodiversitate</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Limitele Zonelor Prioritare pentru Biodiversitate sunt disponibile în format digital: Link: </w:t>
      </w:r>
      <w:hyperlink r:id="rId7">
        <w:r w:rsidDel="00000000" w:rsidR="00000000" w:rsidRPr="00000000">
          <w:rPr>
            <w:rFonts w:ascii="Arial" w:cs="Arial" w:eastAsia="Arial" w:hAnsi="Arial"/>
            <w:b w:val="0"/>
            <w:bCs w:val="0"/>
            <w:i w:val="0"/>
            <w:iCs w:val="0"/>
            <w:smallCaps w:val="0"/>
            <w:strike w:val="0"/>
            <w:color w:val="0000ff"/>
            <w:sz w:val="22"/>
            <w:szCs w:val="22"/>
            <w:u w:val="single"/>
            <w:shd w:fill="auto" w:val="clear"/>
            <w:vertAlign w:val="baselin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Arial" w:cs="Arial" w:eastAsia="Arial" w:hAnsi="Arial"/>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Arial" w:cs="Arial" w:eastAsia="Arial" w:hAnsi="Arial"/>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Arial" w:cs="Arial" w:eastAsia="Arial" w:hAnsi="Arial"/>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bCs w:val="1"/>
      <w:i w:val="0"/>
      <w:iCs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y6n0ZszZJZab+sqc4q9EppL+Y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ZGN0bmtjM3B3dGdoOAByITFybDZtWTAxZ0JFZjVwUTdFM2VfcUVDNUZpWFBobjRZU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